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3519B4">
        <w:rPr>
          <w:rFonts w:ascii="Times New Roman" w:hAnsi="Times New Roman" w:cs="Times New Roman"/>
          <w:b/>
          <w:sz w:val="34"/>
          <w:szCs w:val="34"/>
        </w:rPr>
        <w:t>aprīli</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3519B4">
        <w:rPr>
          <w:rFonts w:ascii="Times New Roman" w:hAnsi="Times New Roman" w:cs="Times New Roman"/>
          <w:sz w:val="24"/>
          <w:szCs w:val="24"/>
        </w:rPr>
        <w:t>aprīlī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3519B4">
        <w:rPr>
          <w:rFonts w:ascii="Times New Roman" w:eastAsia="Calibri" w:hAnsi="Times New Roman" w:cs="Times New Roman"/>
          <w:b/>
          <w:sz w:val="24"/>
          <w:szCs w:val="24"/>
        </w:rPr>
        <w:t>9 094</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FA0F50" w:rsidRDefault="00FA0F50" w:rsidP="00BF684D">
      <w:pPr>
        <w:pStyle w:val="Bezatstarpm"/>
        <w:ind w:right="-625" w:firstLine="567"/>
        <w:jc w:val="both"/>
        <w:rPr>
          <w:rFonts w:ascii="Times New Roman" w:eastAsia="Calibri" w:hAnsi="Times New Roman" w:cs="Times New Roman"/>
          <w:sz w:val="24"/>
          <w:szCs w:val="24"/>
        </w:rPr>
      </w:pPr>
    </w:p>
    <w:p w:rsidR="008642C5" w:rsidRDefault="008642C5" w:rsidP="000439B4">
      <w:pPr>
        <w:pStyle w:val="Bezatstarpm"/>
        <w:ind w:right="-625"/>
        <w:jc w:val="center"/>
        <w:rPr>
          <w:rFonts w:ascii="Times New Roman" w:hAnsi="Times New Roman" w:cs="Times New Roman"/>
          <w:sz w:val="24"/>
          <w:szCs w:val="24"/>
        </w:rPr>
      </w:pPr>
    </w:p>
    <w:p w:rsidR="00126A38" w:rsidRDefault="003519B4" w:rsidP="005B79C9">
      <w:pPr>
        <w:pStyle w:val="Bezatstarpm"/>
        <w:ind w:left="-567" w:right="-625"/>
        <w:jc w:val="center"/>
        <w:rPr>
          <w:noProof/>
        </w:rPr>
      </w:pPr>
      <w:r>
        <w:rPr>
          <w:noProof/>
        </w:rPr>
        <w:drawing>
          <wp:inline distT="0" distB="0" distL="0" distR="0">
            <wp:extent cx="5343525" cy="3288900"/>
            <wp:effectExtent l="133350" t="114300" r="123825" b="12128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7488" cy="32913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3519B4" w:rsidP="003519B4">
      <w:pPr>
        <w:pStyle w:val="Bezatstarpm"/>
        <w:ind w:right="-625" w:hanging="142"/>
        <w:jc w:val="both"/>
        <w:rPr>
          <w:rFonts w:ascii="Times New Roman" w:eastAsia="Calibri" w:hAnsi="Times New Roman" w:cs="Times New Roman"/>
          <w:sz w:val="24"/>
          <w:szCs w:val="24"/>
        </w:rPr>
      </w:pPr>
      <w:r>
        <w:rPr>
          <w:noProof/>
        </w:rPr>
        <w:drawing>
          <wp:inline distT="0" distB="0" distL="0" distR="0">
            <wp:extent cx="5426710" cy="3340100"/>
            <wp:effectExtent l="133350" t="114300" r="116840" b="14605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340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3519B4">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3519B4">
        <w:rPr>
          <w:rFonts w:ascii="Times New Roman" w:eastAsia="Calibri" w:hAnsi="Times New Roman" w:cs="Times New Roman"/>
          <w:b/>
          <w:sz w:val="24"/>
          <w:szCs w:val="24"/>
        </w:rPr>
        <w:t>39 542</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3519B4" w:rsidP="00780B1D">
      <w:pPr>
        <w:pStyle w:val="Bezatstarpm"/>
        <w:ind w:right="-625"/>
        <w:jc w:val="center"/>
        <w:rPr>
          <w:rFonts w:ascii="Times New Roman" w:hAnsi="Times New Roman" w:cs="Times New Roman"/>
          <w:b/>
          <w:sz w:val="8"/>
          <w:szCs w:val="8"/>
        </w:rPr>
      </w:pPr>
      <w:r>
        <w:rPr>
          <w:noProof/>
        </w:rPr>
        <w:drawing>
          <wp:inline distT="0" distB="0" distL="0" distR="0">
            <wp:extent cx="5426710" cy="3277235"/>
            <wp:effectExtent l="114300" t="114300" r="97790" b="13271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2772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D57B7E">
      <w:pPr>
        <w:pStyle w:val="Bezatstarpm"/>
        <w:ind w:left="-567" w:right="-625"/>
        <w:jc w:val="center"/>
        <w:rPr>
          <w:rFonts w:ascii="Times New Roman" w:hAnsi="Times New Roman" w:cs="Times New Roman"/>
          <w:b/>
          <w:sz w:val="24"/>
          <w:szCs w:val="24"/>
        </w:rPr>
      </w:pPr>
    </w:p>
    <w:p w:rsidR="006F0328" w:rsidRDefault="006F0328"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F25122">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F25122">
        <w:rPr>
          <w:rFonts w:ascii="Times New Roman" w:eastAsia="Calibri" w:hAnsi="Times New Roman" w:cs="Times New Roman"/>
          <w:b/>
          <w:sz w:val="24"/>
          <w:szCs w:val="24"/>
        </w:rPr>
        <w:t>750</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3519B4" w:rsidP="00474287">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extent cx="5426710" cy="3481070"/>
            <wp:effectExtent l="133350" t="114300" r="116840" b="13843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4810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3519B4">
        <w:rPr>
          <w:rFonts w:ascii="Times New Roman" w:hAnsi="Times New Roman" w:cs="Times New Roman"/>
          <w:sz w:val="24"/>
          <w:szCs w:val="24"/>
        </w:rPr>
        <w:t>aprīlī</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w:t>
      </w:r>
      <w:bookmarkStart w:id="0" w:name="_GoBack"/>
      <w:bookmarkEnd w:id="0"/>
      <w:r w:rsidR="006A6887" w:rsidRPr="00BF684D">
        <w:rPr>
          <w:rFonts w:ascii="Times New Roman" w:eastAsia="Calibri" w:hAnsi="Times New Roman" w:cs="Times New Roman"/>
          <w:sz w:val="24"/>
          <w:szCs w:val="24"/>
        </w:rPr>
        <w:t>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3519B4">
        <w:rPr>
          <w:rFonts w:ascii="Times New Roman" w:hAnsi="Times New Roman" w:cs="Times New Roman"/>
          <w:b/>
          <w:sz w:val="24"/>
          <w:szCs w:val="24"/>
        </w:rPr>
        <w:t xml:space="preserve"> 515 </w:t>
      </w:r>
      <w:r w:rsidR="00394D6C">
        <w:rPr>
          <w:rFonts w:ascii="Times New Roman" w:hAnsi="Times New Roman" w:cs="Times New Roman"/>
          <w:b/>
          <w:sz w:val="24"/>
          <w:szCs w:val="24"/>
        </w:rPr>
        <w:t>904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A710CC" w:rsidRDefault="003519B4" w:rsidP="00351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extent cx="5426710" cy="3345815"/>
            <wp:effectExtent l="133350" t="114300" r="116840" b="14033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3345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3519B4">
        <w:rPr>
          <w:rFonts w:ascii="Times New Roman" w:hAnsi="Times New Roman" w:cs="Times New Roman"/>
          <w:sz w:val="24"/>
          <w:szCs w:val="24"/>
        </w:rPr>
        <w:t>aprīlī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519B4">
        <w:rPr>
          <w:rFonts w:ascii="Times New Roman" w:hAnsi="Times New Roman" w:cs="Times New Roman"/>
          <w:b/>
          <w:sz w:val="24"/>
          <w:szCs w:val="24"/>
        </w:rPr>
        <w:t>994 615</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3519B4" w:rsidRDefault="003519B4" w:rsidP="00C52D63">
      <w:pPr>
        <w:pStyle w:val="Bezatstarpm"/>
        <w:ind w:right="-625" w:firstLine="567"/>
        <w:jc w:val="both"/>
        <w:rPr>
          <w:rFonts w:ascii="Times New Roman" w:hAnsi="Times New Roman" w:cs="Times New Roman"/>
          <w:sz w:val="24"/>
          <w:szCs w:val="24"/>
        </w:rPr>
      </w:pPr>
    </w:p>
    <w:p w:rsidR="000439B4" w:rsidRPr="000439B4" w:rsidRDefault="003519B4" w:rsidP="003519B4">
      <w:pPr>
        <w:pStyle w:val="Bezatstarpm"/>
        <w:ind w:right="-625" w:firstLine="284"/>
        <w:jc w:val="both"/>
        <w:rPr>
          <w:rFonts w:ascii="Times New Roman" w:hAnsi="Times New Roman" w:cs="Times New Roman"/>
          <w:sz w:val="16"/>
          <w:szCs w:val="16"/>
        </w:rPr>
      </w:pPr>
      <w:r>
        <w:rPr>
          <w:noProof/>
        </w:rPr>
        <w:drawing>
          <wp:inline distT="0" distB="0" distL="0" distR="0">
            <wp:extent cx="5426710" cy="3307080"/>
            <wp:effectExtent l="133350" t="114300" r="97790" b="12192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3307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6887" w:rsidRDefault="006A6887" w:rsidP="003101D7">
      <w:pPr>
        <w:pStyle w:val="Bezatstarpm"/>
        <w:tabs>
          <w:tab w:val="left" w:pos="709"/>
        </w:tabs>
        <w:ind w:right="-625"/>
        <w:jc w:val="center"/>
        <w:rPr>
          <w:rFonts w:ascii="Times New Roman" w:hAnsi="Times New Roman" w:cs="Times New Roman"/>
          <w:sz w:val="24"/>
          <w:szCs w:val="24"/>
        </w:rPr>
      </w:pP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aprīlis</w:t>
            </w:r>
            <w:r>
              <w:rPr>
                <w:rFonts w:ascii="Times New Roman" w:hAnsi="Times New Roman" w:cs="Times New Roman"/>
                <w:b/>
                <w:sz w:val="24"/>
                <w:szCs w:val="24"/>
              </w:rPr>
              <w:t>)</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3519B4" w:rsidP="00A85B0E">
            <w:pPr>
              <w:jc w:val="center"/>
              <w:rPr>
                <w:rFonts w:ascii="Times New Roman" w:hAnsi="Times New Roman" w:cs="Times New Roman"/>
                <w:sz w:val="24"/>
                <w:szCs w:val="24"/>
              </w:rPr>
            </w:pPr>
            <w:r>
              <w:rPr>
                <w:rFonts w:ascii="Times New Roman" w:hAnsi="Times New Roman" w:cs="Times New Roman"/>
                <w:sz w:val="24"/>
                <w:szCs w:val="24"/>
              </w:rPr>
              <w:t>375</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3519B4" w:rsidP="00A85B0E">
            <w:pPr>
              <w:jc w:val="center"/>
              <w:rPr>
                <w:rFonts w:ascii="Times New Roman" w:hAnsi="Times New Roman" w:cs="Times New Roman"/>
                <w:b/>
                <w:sz w:val="24"/>
                <w:szCs w:val="24"/>
              </w:rPr>
            </w:pPr>
            <w:r>
              <w:rPr>
                <w:rFonts w:ascii="Times New Roman" w:hAnsi="Times New Roman" w:cs="Times New Roman"/>
                <w:b/>
                <w:sz w:val="24"/>
                <w:szCs w:val="24"/>
              </w:rPr>
              <w:t>602</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2B4E56" w:rsidTr="009917D5">
        <w:tc>
          <w:tcPr>
            <w:tcW w:w="4112" w:type="dxa"/>
            <w:vMerge w:val="restart"/>
          </w:tcPr>
          <w:p w:rsidR="002B4E56" w:rsidRDefault="002B4E56" w:rsidP="002B4E56">
            <w:pPr>
              <w:jc w:val="center"/>
              <w:rPr>
                <w:rFonts w:ascii="Times New Roman" w:hAnsi="Times New Roman" w:cs="Times New Roman"/>
                <w:sz w:val="24"/>
                <w:szCs w:val="24"/>
              </w:rPr>
            </w:pPr>
          </w:p>
          <w:p w:rsidR="002B4E56" w:rsidRDefault="002B4E56" w:rsidP="002B4E56">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2B4E56" w:rsidRPr="000972B1" w:rsidRDefault="003519B4"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aprīlis)</w:t>
            </w:r>
          </w:p>
        </w:tc>
        <w:tc>
          <w:tcPr>
            <w:tcW w:w="127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9917D5">
        <w:tc>
          <w:tcPr>
            <w:tcW w:w="4112" w:type="dxa"/>
            <w:vMerge/>
          </w:tcPr>
          <w:p w:rsidR="002B4E56" w:rsidRDefault="002B4E56" w:rsidP="00D95B1B">
            <w:pPr>
              <w:jc w:val="both"/>
              <w:rPr>
                <w:rFonts w:ascii="Times New Roman" w:hAnsi="Times New Roman" w:cs="Times New Roman"/>
                <w:sz w:val="24"/>
                <w:szCs w:val="24"/>
              </w:rPr>
            </w:pPr>
          </w:p>
        </w:tc>
        <w:tc>
          <w:tcPr>
            <w:tcW w:w="1417" w:type="dxa"/>
          </w:tcPr>
          <w:p w:rsidR="002B4E56" w:rsidRDefault="002B4E56" w:rsidP="00D95B1B">
            <w:pPr>
              <w:jc w:val="center"/>
              <w:rPr>
                <w:rFonts w:ascii="Times New Roman" w:hAnsi="Times New Roman" w:cs="Times New Roman"/>
                <w:sz w:val="24"/>
                <w:szCs w:val="24"/>
              </w:rPr>
            </w:pPr>
          </w:p>
          <w:p w:rsidR="002B4E56" w:rsidRDefault="002B4E56" w:rsidP="00D95B1B">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2B4E56" w:rsidRDefault="002B4E56" w:rsidP="00D95B1B">
            <w:pPr>
              <w:jc w:val="center"/>
              <w:rPr>
                <w:rFonts w:ascii="Times New Roman" w:hAnsi="Times New Roman" w:cs="Times New Roman"/>
                <w:sz w:val="24"/>
                <w:szCs w:val="24"/>
              </w:rPr>
            </w:pPr>
          </w:p>
          <w:p w:rsidR="002B4E56" w:rsidRDefault="003519B4" w:rsidP="00D95B1B">
            <w:pPr>
              <w:jc w:val="center"/>
              <w:rPr>
                <w:rFonts w:ascii="Times New Roman" w:hAnsi="Times New Roman" w:cs="Times New Roman"/>
                <w:sz w:val="24"/>
                <w:szCs w:val="24"/>
              </w:rPr>
            </w:pPr>
            <w:r>
              <w:rPr>
                <w:rFonts w:ascii="Times New Roman" w:hAnsi="Times New Roman" w:cs="Times New Roman"/>
                <w:sz w:val="24"/>
                <w:szCs w:val="24"/>
              </w:rPr>
              <w:t>194</w:t>
            </w:r>
          </w:p>
        </w:tc>
        <w:tc>
          <w:tcPr>
            <w:tcW w:w="1276" w:type="dxa"/>
          </w:tcPr>
          <w:p w:rsidR="002B4E56" w:rsidRDefault="002B4E56" w:rsidP="00D95B1B">
            <w:pPr>
              <w:jc w:val="center"/>
              <w:rPr>
                <w:rFonts w:ascii="Times New Roman" w:hAnsi="Times New Roman" w:cs="Times New Roman"/>
                <w:sz w:val="24"/>
                <w:szCs w:val="24"/>
              </w:rPr>
            </w:pPr>
          </w:p>
          <w:p w:rsidR="002B4E56" w:rsidRPr="000972B1" w:rsidRDefault="003519B4" w:rsidP="00D95B1B">
            <w:pPr>
              <w:jc w:val="center"/>
              <w:rPr>
                <w:rFonts w:ascii="Times New Roman" w:hAnsi="Times New Roman" w:cs="Times New Roman"/>
                <w:b/>
                <w:sz w:val="24"/>
                <w:szCs w:val="24"/>
              </w:rPr>
            </w:pPr>
            <w:r>
              <w:rPr>
                <w:rFonts w:ascii="Times New Roman" w:hAnsi="Times New Roman" w:cs="Times New Roman"/>
                <w:b/>
                <w:sz w:val="24"/>
                <w:szCs w:val="24"/>
              </w:rPr>
              <w:t>463</w:t>
            </w:r>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2B4E56" w:rsidTr="009917D5">
        <w:tc>
          <w:tcPr>
            <w:tcW w:w="3516" w:type="dxa"/>
            <w:vMerge w:val="restart"/>
          </w:tcPr>
          <w:p w:rsidR="002B4E56" w:rsidRDefault="002B4E56" w:rsidP="002B4E56">
            <w:pPr>
              <w:jc w:val="center"/>
              <w:rPr>
                <w:rFonts w:ascii="Times New Roman" w:hAnsi="Times New Roman" w:cs="Times New Roman"/>
                <w:sz w:val="24"/>
                <w:szCs w:val="24"/>
              </w:rPr>
            </w:pPr>
          </w:p>
          <w:p w:rsidR="002B4E56" w:rsidRPr="000972B1" w:rsidRDefault="002B4E56" w:rsidP="002B4E56">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2B4E56" w:rsidRPr="000972B1" w:rsidRDefault="003519B4"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aprīlis)</w:t>
            </w:r>
          </w:p>
        </w:tc>
        <w:tc>
          <w:tcPr>
            <w:tcW w:w="127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9917D5">
        <w:tc>
          <w:tcPr>
            <w:tcW w:w="3516" w:type="dxa"/>
            <w:vMerge/>
          </w:tcPr>
          <w:p w:rsidR="002B4E56" w:rsidRDefault="002B4E56" w:rsidP="00D95B1B">
            <w:pPr>
              <w:jc w:val="both"/>
              <w:rPr>
                <w:rFonts w:ascii="Times New Roman" w:hAnsi="Times New Roman" w:cs="Times New Roman"/>
                <w:sz w:val="24"/>
                <w:szCs w:val="24"/>
              </w:rPr>
            </w:pPr>
          </w:p>
        </w:tc>
        <w:tc>
          <w:tcPr>
            <w:tcW w:w="1356" w:type="dxa"/>
          </w:tcPr>
          <w:p w:rsidR="002B4E56" w:rsidRDefault="002B4E56" w:rsidP="00D95B1B">
            <w:pPr>
              <w:jc w:val="center"/>
              <w:rPr>
                <w:rFonts w:ascii="Times New Roman" w:hAnsi="Times New Roman" w:cs="Times New Roman"/>
                <w:sz w:val="24"/>
                <w:szCs w:val="24"/>
              </w:rPr>
            </w:pPr>
            <w:r>
              <w:rPr>
                <w:rFonts w:ascii="Times New Roman" w:hAnsi="Times New Roman" w:cs="Times New Roman"/>
                <w:sz w:val="24"/>
                <w:szCs w:val="24"/>
              </w:rPr>
              <w:t>1024</w:t>
            </w:r>
          </w:p>
        </w:tc>
        <w:tc>
          <w:tcPr>
            <w:tcW w:w="2749" w:type="dxa"/>
          </w:tcPr>
          <w:p w:rsidR="002B4E56" w:rsidRDefault="003519B4" w:rsidP="00D95B1B">
            <w:pPr>
              <w:jc w:val="center"/>
              <w:rPr>
                <w:rFonts w:ascii="Times New Roman" w:hAnsi="Times New Roman" w:cs="Times New Roman"/>
                <w:sz w:val="24"/>
                <w:szCs w:val="24"/>
              </w:rPr>
            </w:pPr>
            <w:r>
              <w:rPr>
                <w:rFonts w:ascii="Times New Roman" w:hAnsi="Times New Roman" w:cs="Times New Roman"/>
                <w:sz w:val="24"/>
                <w:szCs w:val="24"/>
              </w:rPr>
              <w:t>608</w:t>
            </w:r>
          </w:p>
        </w:tc>
        <w:tc>
          <w:tcPr>
            <w:tcW w:w="1276" w:type="dxa"/>
          </w:tcPr>
          <w:p w:rsidR="002B4E56" w:rsidRPr="000972B1" w:rsidRDefault="003519B4" w:rsidP="00D95B1B">
            <w:pPr>
              <w:jc w:val="center"/>
              <w:rPr>
                <w:rFonts w:ascii="Times New Roman" w:hAnsi="Times New Roman" w:cs="Times New Roman"/>
                <w:b/>
                <w:sz w:val="24"/>
                <w:szCs w:val="24"/>
              </w:rPr>
            </w:pPr>
            <w:r>
              <w:rPr>
                <w:rFonts w:ascii="Times New Roman" w:hAnsi="Times New Roman" w:cs="Times New Roman"/>
                <w:b/>
                <w:sz w:val="24"/>
                <w:szCs w:val="24"/>
              </w:rPr>
              <w:t>1632</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6"/>
        <w:gridCol w:w="576"/>
        <w:gridCol w:w="586"/>
        <w:gridCol w:w="612"/>
        <w:gridCol w:w="599"/>
        <w:gridCol w:w="628"/>
        <w:gridCol w:w="630"/>
        <w:gridCol w:w="621"/>
        <w:gridCol w:w="601"/>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3519B4" w:rsidP="0000289C">
            <w:pPr>
              <w:jc w:val="center"/>
              <w:rPr>
                <w:rFonts w:ascii="Times New Roman" w:hAnsi="Times New Roman" w:cs="Times New Roman"/>
                <w:b/>
                <w:sz w:val="24"/>
                <w:szCs w:val="24"/>
              </w:rPr>
            </w:pPr>
            <w:r>
              <w:rPr>
                <w:rFonts w:ascii="Times New Roman" w:hAnsi="Times New Roman" w:cs="Times New Roman"/>
                <w:b/>
                <w:sz w:val="24"/>
                <w:szCs w:val="24"/>
              </w:rPr>
              <w:t>234</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3519B4"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3519B4" w:rsidP="00077175">
            <w:pPr>
              <w:jc w:val="center"/>
              <w:rPr>
                <w:rFonts w:ascii="Times New Roman" w:hAnsi="Times New Roman" w:cs="Times New Roman"/>
                <w:b/>
                <w:sz w:val="24"/>
                <w:szCs w:val="24"/>
              </w:rPr>
            </w:pPr>
            <w:r>
              <w:rPr>
                <w:rFonts w:ascii="Times New Roman" w:hAnsi="Times New Roman" w:cs="Times New Roman"/>
                <w:b/>
                <w:sz w:val="24"/>
                <w:szCs w:val="24"/>
              </w:rPr>
              <w:t>5</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3519B4" w:rsidP="00077175">
            <w:pPr>
              <w:jc w:val="center"/>
              <w:rPr>
                <w:rFonts w:ascii="Times New Roman" w:hAnsi="Times New Roman" w:cs="Times New Roman"/>
                <w:b/>
                <w:sz w:val="24"/>
                <w:szCs w:val="24"/>
              </w:rPr>
            </w:pPr>
            <w:r>
              <w:rPr>
                <w:rFonts w:ascii="Times New Roman" w:hAnsi="Times New Roman" w:cs="Times New Roman"/>
                <w:b/>
                <w:sz w:val="24"/>
                <w:szCs w:val="24"/>
              </w:rPr>
              <w:t>23</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3519B4" w:rsidP="00077175">
            <w:pPr>
              <w:jc w:val="center"/>
              <w:rPr>
                <w:rFonts w:ascii="Times New Roman" w:hAnsi="Times New Roman" w:cs="Times New Roman"/>
                <w:b/>
                <w:sz w:val="24"/>
                <w:szCs w:val="24"/>
              </w:rPr>
            </w:pPr>
            <w:r>
              <w:rPr>
                <w:rFonts w:ascii="Times New Roman" w:hAnsi="Times New Roman" w:cs="Times New Roman"/>
                <w:b/>
                <w:sz w:val="24"/>
                <w:szCs w:val="24"/>
              </w:rPr>
              <w:t>15</w:t>
            </w:r>
          </w:p>
        </w:tc>
      </w:tr>
      <w:bookmarkEnd w:id="1"/>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C239C"/>
    <w:rsid w:val="00CC3D29"/>
    <w:rsid w:val="00CD41BB"/>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436C"/>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0FDB"/>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167B8-A3EF-44C2-ABB9-819143E1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6</Pages>
  <Words>3110</Words>
  <Characters>1773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226</cp:revision>
  <cp:lastPrinted>2019-05-15T13:05:00Z</cp:lastPrinted>
  <dcterms:created xsi:type="dcterms:W3CDTF">2014-02-04T13:39:00Z</dcterms:created>
  <dcterms:modified xsi:type="dcterms:W3CDTF">2019-05-16T12:23:00Z</dcterms:modified>
</cp:coreProperties>
</file>