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790E2793"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407101">
        <w:rPr>
          <w:rFonts w:ascii="Times New Roman" w:hAnsi="Times New Roman" w:cs="Times New Roman"/>
          <w:b/>
          <w:sz w:val="34"/>
          <w:szCs w:val="34"/>
        </w:rPr>
        <w:t>maiju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71699BC6"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407101">
        <w:rPr>
          <w:rFonts w:ascii="Times New Roman" w:hAnsi="Times New Roman" w:cs="Times New Roman"/>
          <w:sz w:val="24"/>
          <w:szCs w:val="24"/>
        </w:rPr>
        <w:t>maijā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407101">
        <w:rPr>
          <w:rFonts w:ascii="Times New Roman" w:eastAsia="Calibri" w:hAnsi="Times New Roman" w:cs="Times New Roman"/>
          <w:b/>
          <w:sz w:val="24"/>
          <w:szCs w:val="24"/>
        </w:rPr>
        <w:t>9</w:t>
      </w:r>
      <w:r w:rsidR="00B37EC0">
        <w:rPr>
          <w:rFonts w:ascii="Times New Roman" w:eastAsia="Calibri" w:hAnsi="Times New Roman" w:cs="Times New Roman"/>
          <w:b/>
          <w:sz w:val="24"/>
          <w:szCs w:val="24"/>
        </w:rPr>
        <w:t xml:space="preserve"> </w:t>
      </w:r>
      <w:r w:rsidR="00407101">
        <w:rPr>
          <w:rFonts w:ascii="Times New Roman" w:eastAsia="Calibri" w:hAnsi="Times New Roman" w:cs="Times New Roman"/>
          <w:b/>
          <w:sz w:val="24"/>
          <w:szCs w:val="24"/>
        </w:rPr>
        <w:t>014</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4DA5DE44" w:rsidR="008642C5" w:rsidRDefault="00EE74DF" w:rsidP="000439B4">
      <w:pPr>
        <w:pStyle w:val="Bezatstarpm"/>
        <w:ind w:right="-625"/>
        <w:jc w:val="center"/>
        <w:rPr>
          <w:rFonts w:ascii="Times New Roman" w:hAnsi="Times New Roman" w:cs="Times New Roman"/>
          <w:sz w:val="24"/>
          <w:szCs w:val="24"/>
        </w:rPr>
      </w:pPr>
      <w:r>
        <w:rPr>
          <w:noProof/>
        </w:rPr>
        <w:drawing>
          <wp:inline distT="0" distB="0" distL="0" distR="0" wp14:anchorId="6764D775" wp14:editId="0B855D75">
            <wp:extent cx="5426710" cy="3250565"/>
            <wp:effectExtent l="114300" t="114300" r="97790" b="1212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250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7777777"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0250E65A" w:rsidR="002D0FC3" w:rsidRDefault="00EE74DF" w:rsidP="002B6A45">
      <w:pPr>
        <w:pStyle w:val="Bezatstarpm"/>
        <w:ind w:right="-625" w:firstLine="142"/>
        <w:jc w:val="both"/>
        <w:rPr>
          <w:rFonts w:ascii="Times New Roman" w:eastAsia="Calibri" w:hAnsi="Times New Roman" w:cs="Times New Roman"/>
          <w:sz w:val="24"/>
          <w:szCs w:val="24"/>
        </w:rPr>
      </w:pPr>
      <w:r>
        <w:rPr>
          <w:noProof/>
        </w:rPr>
        <w:drawing>
          <wp:inline distT="0" distB="0" distL="0" distR="0" wp14:anchorId="575E0C57" wp14:editId="0DCA89D5">
            <wp:extent cx="5426710" cy="3277870"/>
            <wp:effectExtent l="114300" t="114300" r="97790" b="13208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277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5FCE2D1E" w:rsidR="001710BC" w:rsidRDefault="001710BC"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59238A83"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407101">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39</w:t>
      </w:r>
      <w:r w:rsidR="00407101">
        <w:rPr>
          <w:rFonts w:ascii="Times New Roman" w:eastAsia="Calibri" w:hAnsi="Times New Roman" w:cs="Times New Roman"/>
          <w:b/>
          <w:sz w:val="24"/>
          <w:szCs w:val="24"/>
        </w:rPr>
        <w:t xml:space="preserve"> 834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4867A851" w:rsidR="006640CC" w:rsidRDefault="00EE74DF" w:rsidP="000A0F6F">
      <w:pPr>
        <w:pStyle w:val="Bezatstarpm"/>
        <w:ind w:left="-284" w:right="-625"/>
        <w:jc w:val="center"/>
        <w:rPr>
          <w:rFonts w:ascii="Times New Roman" w:hAnsi="Times New Roman" w:cs="Times New Roman"/>
          <w:b/>
          <w:sz w:val="24"/>
          <w:szCs w:val="24"/>
        </w:rPr>
      </w:pPr>
      <w:r>
        <w:rPr>
          <w:noProof/>
        </w:rPr>
        <w:drawing>
          <wp:inline distT="0" distB="0" distL="0" distR="0" wp14:anchorId="4079D4D4" wp14:editId="2EC48DC6">
            <wp:extent cx="5426710" cy="3359785"/>
            <wp:effectExtent l="133350" t="114300" r="116840" b="14541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359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7D73ED05"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407101">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407101">
        <w:rPr>
          <w:rFonts w:ascii="Times New Roman" w:eastAsia="Calibri" w:hAnsi="Times New Roman" w:cs="Times New Roman"/>
          <w:b/>
          <w:sz w:val="24"/>
          <w:szCs w:val="24"/>
        </w:rPr>
        <w:t>747</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245880A4" w:rsidR="005B79C9" w:rsidRDefault="00EE74DF" w:rsidP="000A0F6F">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14:anchorId="7C1B9C13" wp14:editId="1231C081">
            <wp:extent cx="5685180" cy="3114675"/>
            <wp:effectExtent l="114300" t="114300" r="86995" b="1238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332" cy="31191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80557AA"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407101">
        <w:rPr>
          <w:rFonts w:ascii="Times New Roman" w:hAnsi="Times New Roman" w:cs="Times New Roman"/>
          <w:sz w:val="24"/>
          <w:szCs w:val="24"/>
        </w:rPr>
        <w:t>maijā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407101">
        <w:rPr>
          <w:rFonts w:ascii="Times New Roman" w:hAnsi="Times New Roman" w:cs="Times New Roman"/>
          <w:b/>
          <w:sz w:val="24"/>
          <w:szCs w:val="24"/>
        </w:rPr>
        <w:t> 759 466</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5F0E871D" w14:textId="61E44495" w:rsidR="00A710CC" w:rsidRDefault="00A710CC" w:rsidP="000A0F6F">
      <w:pPr>
        <w:pStyle w:val="Bezatstarpm"/>
        <w:tabs>
          <w:tab w:val="left" w:pos="1418"/>
        </w:tabs>
        <w:ind w:left="-426" w:right="-1050"/>
        <w:jc w:val="center"/>
        <w:rPr>
          <w:rFonts w:ascii="Times New Roman" w:hAnsi="Times New Roman" w:cs="Times New Roman"/>
          <w:sz w:val="24"/>
          <w:szCs w:val="24"/>
        </w:rPr>
      </w:pPr>
    </w:p>
    <w:p w14:paraId="4B623F52" w14:textId="6AAD9FD4" w:rsidR="00425CAD" w:rsidRDefault="00EE74DF" w:rsidP="002B6A45">
      <w:pPr>
        <w:pStyle w:val="Bezatstarpm"/>
        <w:tabs>
          <w:tab w:val="left" w:pos="1418"/>
        </w:tabs>
        <w:ind w:right="-1050"/>
        <w:jc w:val="both"/>
        <w:rPr>
          <w:rFonts w:ascii="Times New Roman" w:hAnsi="Times New Roman" w:cs="Times New Roman"/>
          <w:sz w:val="24"/>
          <w:szCs w:val="24"/>
        </w:rPr>
      </w:pPr>
      <w:r>
        <w:rPr>
          <w:noProof/>
        </w:rPr>
        <w:drawing>
          <wp:inline distT="0" distB="0" distL="0" distR="0" wp14:anchorId="48C2C257" wp14:editId="3098B62E">
            <wp:extent cx="5426710" cy="2877185"/>
            <wp:effectExtent l="133350" t="114300" r="116840" b="15176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28771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E73451B"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407101">
        <w:rPr>
          <w:rFonts w:ascii="Times New Roman" w:hAnsi="Times New Roman" w:cs="Times New Roman"/>
          <w:sz w:val="24"/>
          <w:szCs w:val="24"/>
        </w:rPr>
        <w:t>maijā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407101">
        <w:rPr>
          <w:rFonts w:ascii="Times New Roman" w:hAnsi="Times New Roman" w:cs="Times New Roman"/>
          <w:b/>
          <w:bCs/>
          <w:sz w:val="24"/>
          <w:szCs w:val="24"/>
        </w:rPr>
        <w:t>963 441</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0792EE5C" w:rsidR="006A6887" w:rsidRDefault="00EE74DF" w:rsidP="002B6A45">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5BD669FB" wp14:editId="7D2B9823">
            <wp:extent cx="5426710" cy="3018790"/>
            <wp:effectExtent l="133350" t="114300" r="116840" b="14351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3018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0C786AA2" w:rsidR="001710BC" w:rsidRDefault="001710BC"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0A832ED5" w14:textId="65A8603E" w:rsidR="00EE74DF" w:rsidRDefault="00EE74DF" w:rsidP="003101D7">
      <w:pPr>
        <w:pStyle w:val="Bezatstarpm"/>
        <w:tabs>
          <w:tab w:val="left" w:pos="709"/>
        </w:tabs>
        <w:ind w:right="-625"/>
        <w:jc w:val="center"/>
        <w:rPr>
          <w:rFonts w:ascii="Times New Roman" w:hAnsi="Times New Roman" w:cs="Times New Roman"/>
          <w:sz w:val="24"/>
          <w:szCs w:val="24"/>
        </w:rPr>
      </w:pPr>
    </w:p>
    <w:p w14:paraId="07811394" w14:textId="77777777"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70E1D4F7"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407101">
              <w:rPr>
                <w:rFonts w:ascii="Times New Roman" w:hAnsi="Times New Roman" w:cs="Times New Roman"/>
                <w:b/>
                <w:sz w:val="24"/>
                <w:szCs w:val="24"/>
              </w:rPr>
              <w:t>maijs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65374195" w:rsidR="001710BC" w:rsidRPr="001710BC" w:rsidRDefault="00407101" w:rsidP="005F376C">
            <w:pPr>
              <w:jc w:val="center"/>
              <w:rPr>
                <w:rFonts w:ascii="Times New Roman" w:hAnsi="Times New Roman" w:cs="Times New Roman"/>
                <w:bCs/>
                <w:sz w:val="24"/>
                <w:szCs w:val="24"/>
              </w:rPr>
            </w:pPr>
            <w:r>
              <w:rPr>
                <w:rFonts w:ascii="Times New Roman" w:hAnsi="Times New Roman" w:cs="Times New Roman"/>
                <w:bCs/>
                <w:sz w:val="24"/>
                <w:szCs w:val="24"/>
              </w:rPr>
              <w:t>939</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178CE06C" w:rsidR="001710BC" w:rsidRPr="000972B1" w:rsidRDefault="006124AF" w:rsidP="005F376C">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407101">
              <w:rPr>
                <w:rFonts w:ascii="Times New Roman" w:hAnsi="Times New Roman" w:cs="Times New Roman"/>
                <w:b/>
                <w:sz w:val="24"/>
                <w:szCs w:val="24"/>
              </w:rPr>
              <w:t>754</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746B9D1E" w:rsidR="001710BC" w:rsidRPr="000972B1" w:rsidRDefault="00407101"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2020.gada janvāris - maijs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22073926" w:rsidR="001710BC" w:rsidRPr="001710BC" w:rsidRDefault="00407101" w:rsidP="001710BC">
            <w:pPr>
              <w:jc w:val="center"/>
              <w:rPr>
                <w:rFonts w:ascii="Times New Roman" w:hAnsi="Times New Roman" w:cs="Times New Roman"/>
                <w:sz w:val="24"/>
                <w:szCs w:val="24"/>
              </w:rPr>
            </w:pPr>
            <w:r>
              <w:rPr>
                <w:rFonts w:ascii="Times New Roman" w:hAnsi="Times New Roman" w:cs="Times New Roman"/>
                <w:sz w:val="24"/>
                <w:szCs w:val="24"/>
              </w:rPr>
              <w:t>84</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44E03024" w:rsidR="001710BC" w:rsidRPr="000972B1" w:rsidRDefault="000A0F6F" w:rsidP="001710BC">
            <w:pPr>
              <w:jc w:val="center"/>
              <w:rPr>
                <w:rFonts w:ascii="Times New Roman" w:hAnsi="Times New Roman" w:cs="Times New Roman"/>
                <w:b/>
                <w:sz w:val="24"/>
                <w:szCs w:val="24"/>
              </w:rPr>
            </w:pPr>
            <w:r>
              <w:rPr>
                <w:rFonts w:ascii="Times New Roman" w:hAnsi="Times New Roman" w:cs="Times New Roman"/>
                <w:b/>
                <w:sz w:val="24"/>
                <w:szCs w:val="24"/>
              </w:rPr>
              <w:t>1 03</w:t>
            </w:r>
            <w:r w:rsidR="00407101">
              <w:rPr>
                <w:rFonts w:ascii="Times New Roman" w:hAnsi="Times New Roman" w:cs="Times New Roman"/>
                <w:b/>
                <w:sz w:val="24"/>
                <w:szCs w:val="24"/>
              </w:rPr>
              <w:t>3</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081A65D2" w:rsidR="001710BC" w:rsidRPr="000972B1" w:rsidRDefault="00407101" w:rsidP="001710BC">
            <w:pPr>
              <w:jc w:val="center"/>
              <w:rPr>
                <w:rFonts w:ascii="Times New Roman" w:hAnsi="Times New Roman" w:cs="Times New Roman"/>
                <w:b/>
                <w:sz w:val="24"/>
                <w:szCs w:val="24"/>
              </w:rPr>
            </w:pPr>
            <w:r>
              <w:rPr>
                <w:rFonts w:ascii="Times New Roman" w:hAnsi="Times New Roman" w:cs="Times New Roman"/>
                <w:b/>
                <w:sz w:val="24"/>
                <w:szCs w:val="24"/>
              </w:rPr>
              <w:t>2020.gada janvāris - maijs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4343D409" w:rsidR="001710BC" w:rsidRPr="001710BC" w:rsidRDefault="00407101" w:rsidP="001710BC">
            <w:pPr>
              <w:jc w:val="center"/>
              <w:rPr>
                <w:rFonts w:ascii="Times New Roman" w:hAnsi="Times New Roman" w:cs="Times New Roman"/>
                <w:bCs/>
                <w:sz w:val="24"/>
                <w:szCs w:val="24"/>
              </w:rPr>
            </w:pPr>
            <w:r>
              <w:rPr>
                <w:rFonts w:ascii="Times New Roman" w:hAnsi="Times New Roman" w:cs="Times New Roman"/>
                <w:bCs/>
                <w:sz w:val="24"/>
                <w:szCs w:val="24"/>
              </w:rPr>
              <w:t>860</w:t>
            </w:r>
          </w:p>
        </w:tc>
        <w:tc>
          <w:tcPr>
            <w:tcW w:w="1263" w:type="dxa"/>
          </w:tcPr>
          <w:p w14:paraId="23A11207" w14:textId="5AEFA263" w:rsidR="001710BC" w:rsidRPr="000972B1" w:rsidRDefault="00407101" w:rsidP="001710BC">
            <w:pPr>
              <w:jc w:val="center"/>
              <w:rPr>
                <w:rFonts w:ascii="Times New Roman" w:hAnsi="Times New Roman" w:cs="Times New Roman"/>
                <w:b/>
                <w:sz w:val="24"/>
                <w:szCs w:val="24"/>
              </w:rPr>
            </w:pPr>
            <w:r>
              <w:rPr>
                <w:rFonts w:ascii="Times New Roman" w:hAnsi="Times New Roman" w:cs="Times New Roman"/>
                <w:b/>
                <w:sz w:val="24"/>
                <w:szCs w:val="24"/>
              </w:rPr>
              <w:t>3 709</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100B8C0C" w:rsidR="006D476D" w:rsidRPr="00F82AFB" w:rsidRDefault="006124AF" w:rsidP="0000289C">
            <w:pPr>
              <w:jc w:val="center"/>
              <w:rPr>
                <w:rFonts w:ascii="Times New Roman" w:hAnsi="Times New Roman" w:cs="Times New Roman"/>
                <w:b/>
                <w:sz w:val="24"/>
                <w:szCs w:val="24"/>
              </w:rPr>
            </w:pPr>
            <w:r>
              <w:rPr>
                <w:rFonts w:ascii="Times New Roman" w:hAnsi="Times New Roman" w:cs="Times New Roman"/>
                <w:b/>
                <w:sz w:val="24"/>
                <w:szCs w:val="24"/>
              </w:rPr>
              <w:t>1</w:t>
            </w:r>
            <w:r w:rsidR="00407101">
              <w:rPr>
                <w:rFonts w:ascii="Times New Roman" w:hAnsi="Times New Roman" w:cs="Times New Roman"/>
                <w:b/>
                <w:sz w:val="24"/>
                <w:szCs w:val="24"/>
              </w:rPr>
              <w:t>49</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51AFFAD2" w:rsidR="006D476D" w:rsidRPr="00F82AFB" w:rsidRDefault="00407101"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13E36D4C"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2</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532A2CF7"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407101">
              <w:rPr>
                <w:rFonts w:ascii="Times New Roman" w:hAnsi="Times New Roman" w:cs="Times New Roman"/>
                <w:b/>
                <w:sz w:val="24"/>
                <w:szCs w:val="24"/>
              </w:rPr>
              <w:t>3</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79FE28B7"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11</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124AF"/>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C0A7-4C1D-4361-BF69-3E862B2F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6</Pages>
  <Words>3140</Words>
  <Characters>1791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219</cp:revision>
  <cp:lastPrinted>2020-03-10T07:06:00Z</cp:lastPrinted>
  <dcterms:created xsi:type="dcterms:W3CDTF">2014-02-04T13:39:00Z</dcterms:created>
  <dcterms:modified xsi:type="dcterms:W3CDTF">2020-06-09T08:56:00Z</dcterms:modified>
</cp:coreProperties>
</file>